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40" w:rsidRPr="00DB3C40" w:rsidRDefault="00E269B4" w:rsidP="00DB3C4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C40">
        <w:rPr>
          <w:rFonts w:ascii="Times New Roman" w:hAnsi="Times New Roman" w:cs="Times New Roman"/>
          <w:b/>
          <w:sz w:val="24"/>
          <w:szCs w:val="24"/>
        </w:rPr>
        <w:t>ПОЛИТИКА В ОТНОШЕНИИ ОБРАБОТКИ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ООО «Белый Жираф» (далее — Оператор).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https://wg-g.ru/.</w:t>
      </w:r>
      <w:bookmarkStart w:id="0" w:name="_GoBack"/>
      <w:bookmarkEnd w:id="0"/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 Основные понятия, используемые в Политике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https://wg-g.ru/.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https://wg-g.ru/.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2.10. Пользователь — любой посетитель веб-сайта https://wg-g.ru/.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3. Основные права и обязанности Оператора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3.1. Оператор имеет право: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3.2. Оператор обязан: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lastRenderedPageBreak/>
        <w:t>— организовывать обработку персональных данных в порядке, установленном действующим законодательством РФ;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исполнять иные обязанности, предусмотренные Законом о 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4. Основные права и обязанности субъектов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4.1. Субъекты персональных данных имеют право: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на осуществление иных прав, предусмотренных законодательством РФ.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lastRenderedPageBreak/>
        <w:t>4.2. Субъекты персональных данных обязаны: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предоставлять Оператору достоверные данные о себе;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— сообщать Оператору об уточнении (обновлении, изменении) своих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5. Принципы обработки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5.1. Обработка персональных данных осуществляется на законной и справедливой основе.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5.4. Обработке подлежат только персональные данные, которые отвечают целям их обработки.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DB3C40">
        <w:rPr>
          <w:rFonts w:ascii="Times New Roman" w:hAnsi="Times New Roman" w:cs="Times New Roman"/>
          <w:sz w:val="24"/>
          <w:szCs w:val="24"/>
        </w:rPr>
        <w:t>неполных</w:t>
      </w:r>
      <w:proofErr w:type="gramEnd"/>
      <w:r w:rsidRPr="00DB3C40">
        <w:rPr>
          <w:rFonts w:ascii="Times New Roman" w:hAnsi="Times New Roman" w:cs="Times New Roman"/>
          <w:sz w:val="24"/>
          <w:szCs w:val="24"/>
        </w:rPr>
        <w:t xml:space="preserve"> или неточных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B3C40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DB3C40">
        <w:rPr>
          <w:rFonts w:ascii="Times New Roman" w:hAnsi="Times New Roman" w:cs="Times New Roman"/>
          <w:sz w:val="24"/>
          <w:szCs w:val="24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DB3C40" w:rsidRPr="00DB3C40" w:rsidTr="00DB3C4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DB3C40" w:rsidRPr="00DB3C40" w:rsidTr="00DB3C4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адрес</w:t>
            </w:r>
          </w:p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</w:tr>
      <w:tr w:rsidR="00DB3C40" w:rsidRPr="00DB3C40" w:rsidTr="00DB3C4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договоры, заключаемые между оператором и субъектом персональных данных</w:t>
            </w:r>
          </w:p>
        </w:tc>
      </w:tr>
      <w:tr w:rsidR="00DB3C40" w:rsidRPr="00DB3C40" w:rsidTr="00DB3C40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DB3C40" w:rsidRPr="00DB3C40" w:rsidRDefault="00DB3C40" w:rsidP="00DB3C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B3C40">
              <w:rPr>
                <w:rFonts w:ascii="Times New Roman" w:hAnsi="Times New Roman" w:cs="Times New Roman"/>
                <w:sz w:val="24"/>
                <w:szCs w:val="24"/>
              </w:rPr>
              <w:t>Отправка информационных писем на адрес электронной почты</w:t>
            </w:r>
          </w:p>
        </w:tc>
      </w:tr>
    </w:tbl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 Условия обработки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B3C40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DB3C40">
        <w:rPr>
          <w:rFonts w:ascii="Times New Roman" w:hAnsi="Times New Roman" w:cs="Times New Roman"/>
          <w:sz w:val="24"/>
          <w:szCs w:val="24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 Порядок сбора, хранения, передачи и других видов обработки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</w:t>
      </w:r>
      <w:r w:rsidRPr="00DB3C40">
        <w:rPr>
          <w:rFonts w:ascii="Times New Roman" w:hAnsi="Times New Roman" w:cs="Times New Roman"/>
          <w:sz w:val="24"/>
          <w:szCs w:val="24"/>
        </w:rPr>
        <w:lastRenderedPageBreak/>
        <w:t>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info@wg-g.ru с пометкой «Актуализация персональных данных».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DB3C40">
        <w:rPr>
          <w:rFonts w:ascii="Times New Roman" w:hAnsi="Times New Roman" w:cs="Times New Roman"/>
          <w:sz w:val="24"/>
          <w:szCs w:val="24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info@wg-g.ru с пометкой «Отзыв согласия на обработку персональных данных».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8.7. Оператор при обработке персональных данных обеспечивает конфиденциальность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B3C40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DB3C40">
        <w:rPr>
          <w:rFonts w:ascii="Times New Roman" w:hAnsi="Times New Roman" w:cs="Times New Roman"/>
          <w:sz w:val="24"/>
          <w:szCs w:val="24"/>
        </w:rPr>
        <w:t xml:space="preserve"> по которому является субъект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lastRenderedPageBreak/>
        <w:t>9. Перечень действий, производимых Оператором с полученными персональными данными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10. Трансграничная передача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11. Конфиденциальность персональных данных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12. Заключительные положения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info@wg-g.ru.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DB3C40" w:rsidRPr="00DB3C40" w:rsidRDefault="00DB3C40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3C40">
        <w:rPr>
          <w:rFonts w:ascii="Times New Roman" w:hAnsi="Times New Roman" w:cs="Times New Roman"/>
          <w:sz w:val="24"/>
          <w:szCs w:val="24"/>
        </w:rPr>
        <w:t>12.3. Актуальная версия Политики в свободном доступе расположена в сети Интернет по адресу https://wg-g.ru/.</w:t>
      </w:r>
    </w:p>
    <w:p w:rsidR="00E00FC5" w:rsidRPr="00DB3C40" w:rsidRDefault="00E269B4" w:rsidP="00DB3C4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E00FC5" w:rsidRPr="00DB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534DD"/>
    <w:multiLevelType w:val="multilevel"/>
    <w:tmpl w:val="637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F00D0"/>
    <w:multiLevelType w:val="multilevel"/>
    <w:tmpl w:val="B8D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C6104"/>
    <w:multiLevelType w:val="multilevel"/>
    <w:tmpl w:val="2AC4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40"/>
    <w:rsid w:val="008623F7"/>
    <w:rsid w:val="0086658E"/>
    <w:rsid w:val="00DB3C40"/>
    <w:rsid w:val="00E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C276-A5EF-4299-929D-F5D1F17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B3C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B3C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3C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3C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B3C40"/>
    <w:rPr>
      <w:b/>
      <w:bCs/>
    </w:rPr>
  </w:style>
  <w:style w:type="character" w:customStyle="1" w:styleId="link">
    <w:name w:val="link"/>
    <w:basedOn w:val="a0"/>
    <w:rsid w:val="00DB3C40"/>
  </w:style>
  <w:style w:type="character" w:customStyle="1" w:styleId="mark">
    <w:name w:val="mark"/>
    <w:basedOn w:val="a0"/>
    <w:rsid w:val="00DB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6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6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3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18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88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41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265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54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225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6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923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2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03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6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56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87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1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7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392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637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89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49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49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2025-12-08T07:03:00Z</dcterms:created>
  <dcterms:modified xsi:type="dcterms:W3CDTF">2025-12-08T07:07:00Z</dcterms:modified>
</cp:coreProperties>
</file>